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19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2024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obszaru położonego przy ul. Słonecznej w środkowo-zachodniej części wsi Bielany Wrocławskie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L/1004/2023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Słonecznej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środkowo-zachodniej części wsi Bielany Wrocławskie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przy ul. Słonecznej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środkowo-zachodniej części wsi Bielany Wrocławskie,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L/1004/2023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listopada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terenie oznaczonym symbolem: MNW - jak dla terenów zabudowy mieszkaniowej jednorodzinnej;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16m;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minimum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usług prowadzonych na powierzchni całkowitej od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następne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handlowo-usługowych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przekraczającej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parkingowych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obiektu handlowo-usługowego,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b należy usytuować na terenie na którym usytuowany jest obiekt, któremu te miejsca towarzyszą,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wolnostojącej oznaczony na rysunku planu miejscowego symbolem 1MNW,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 do budynków mieszkalnych,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30% całkowitej powierzchni użytkowej obiektów zlokalizowanych na działce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dopuszcza się dowolne formy dachów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pokryć dachowych.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obszaru położonego przy ul. Słonecznej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środkowo-zachodniej części wsi Bielany Wrocławskie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przy ul. Słonecznej w środkowo-zachodniej części wsi Bielany Wrocławskie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Projekt miejscowego planu zagospodarowania przestrzennego obszaru położonego przy ul. Bocznej w środkowo-zachodniej części wsi Bielany Wrocławskie sporządzony został na podstawie uchwały nr L/1004/2023 Rady Gminy Kobierzyce z dnia 24 listopada o 2023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sporządzania miejscowego planu zagospodarowania przestrzennego obszaru położonego przy ul. Słonecznej w środkowo-zachodniej części wsi Bielany Wrocławskie jest ustalenie dachów o dowolnej geometrii i pokrycia dachów. Ponadto uchwalenie planu ma za zadanie: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szczególnych warunków zagospodarowania terenów oraz ograniczeń w ich użytkowaniu, w tym zakazów zabudowy;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58C9D64E-E5F9-434A-BB7F-8A1311C5DF89.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58C9D64E-E5F9-434A-BB7F-8A1311C5DF89.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58C9D64E-E5F9-434A-BB7F-8A1311C5DF89.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58C9D64E-E5F9-434A-BB7F-8A1311C5DF89.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58C9D64E-E5F9-434A-BB7F-8A1311C5DF89.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obszaru położonego przy ul. Słonecznej w^środkowo-zachodniej części wsi Bielany Wrocławskie</dc:subject>
  <dc:creator>angel</dc:creator>
  <cp:lastModifiedBy>angel</cp:lastModifiedBy>
  <cp:revision>1</cp:revision>
  <dcterms:created xsi:type="dcterms:W3CDTF">2024-12-19T01:38:07Z</dcterms:created>
  <dcterms:modified xsi:type="dcterms:W3CDTF">2024-12-19T01:38:07Z</dcterms:modified>
  <cp:category>Akt prawny</cp:category>
</cp:coreProperties>
</file>